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08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8"/>
      </w:tblGrid>
      <w:tr w:rsidR="00926E12" w:rsidRPr="00CD083F" w:rsidTr="008A3813">
        <w:trPr>
          <w:trHeight w:val="13586"/>
          <w:tblCellSpacing w:w="0" w:type="dxa"/>
        </w:trPr>
        <w:tc>
          <w:tcPr>
            <w:tcW w:w="10875" w:type="dxa"/>
            <w:tcMar>
              <w:top w:w="1050" w:type="dxa"/>
              <w:left w:w="0" w:type="dxa"/>
              <w:bottom w:w="150" w:type="dxa"/>
              <w:right w:w="0" w:type="dxa"/>
            </w:tcMar>
          </w:tcPr>
          <w:p w:rsidR="00926E12" w:rsidRDefault="00D31DDF" w:rsidP="00926E12">
            <w:pPr>
              <w:pStyle w:val="Heading3"/>
              <w:jc w:val="center"/>
              <w:rPr>
                <w:rFonts w:eastAsia="Times New Roman"/>
                <w:sz w:val="36"/>
                <w:szCs w:val="36"/>
              </w:rPr>
            </w:pPr>
            <w:bookmarkStart w:id="0" w:name="_GoBack"/>
            <w:r>
              <w:rPr>
                <w:rFonts w:eastAsia="Times New Roman"/>
                <w:noProof/>
                <w:sz w:val="36"/>
                <w:szCs w:val="36"/>
                <w:lang w:eastAsia="zh-CN"/>
              </w:rPr>
              <w:drawing>
                <wp:inline distT="0" distB="0" distL="0" distR="0">
                  <wp:extent cx="6986016" cy="1310640"/>
                  <wp:effectExtent l="0" t="0" r="571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GC web banners_Spring 2013_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016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6E12" w:rsidRPr="00ED3FA4" w:rsidRDefault="00926E12" w:rsidP="00926E12">
            <w:pPr>
              <w:pStyle w:val="Heading3"/>
              <w:rPr>
                <w:rFonts w:eastAsia="Times New Roman"/>
                <w:sz w:val="24"/>
                <w:szCs w:val="24"/>
              </w:rPr>
            </w:pPr>
          </w:p>
          <w:p w:rsidR="00926E12" w:rsidRDefault="00516CD5" w:rsidP="00516CD5">
            <w:pPr>
              <w:pStyle w:val="Heading3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 </w:t>
            </w:r>
            <w:r w:rsidR="00C736F9">
              <w:rPr>
                <w:rFonts w:eastAsia="Times New Roman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sz w:val="36"/>
                <w:szCs w:val="36"/>
              </w:rPr>
              <w:t>Tuesday, February 5</w:t>
            </w:r>
            <w:r w:rsidR="00926E12">
              <w:rPr>
                <w:rFonts w:eastAsia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eastAsia="Times New Roman"/>
                <w:sz w:val="36"/>
                <w:szCs w:val="36"/>
              </w:rPr>
              <w:t>, 6:</w:t>
            </w:r>
            <w:r w:rsidR="00D31DDF">
              <w:rPr>
                <w:rFonts w:eastAsia="Times New Roman"/>
                <w:sz w:val="36"/>
                <w:szCs w:val="36"/>
              </w:rPr>
              <w:t>3</w:t>
            </w:r>
            <w:r w:rsidR="00926E12">
              <w:rPr>
                <w:rFonts w:eastAsia="Times New Roman"/>
                <w:sz w:val="36"/>
                <w:szCs w:val="36"/>
              </w:rPr>
              <w:t>0pm</w:t>
            </w:r>
          </w:p>
          <w:p w:rsidR="00926E12" w:rsidRPr="00FA5BA0" w:rsidRDefault="00926E12" w:rsidP="00926E12">
            <w:pPr>
              <w:pStyle w:val="Heading3"/>
              <w:ind w:left="360"/>
              <w:rPr>
                <w:rFonts w:eastAsia="Times New Roman"/>
                <w:sz w:val="20"/>
                <w:szCs w:val="20"/>
              </w:rPr>
            </w:pPr>
          </w:p>
          <w:p w:rsidR="00516CD5" w:rsidRPr="00887EC5" w:rsidRDefault="00516CD5" w:rsidP="00516CD5">
            <w:pPr>
              <w:pStyle w:val="Heading1"/>
              <w:rPr>
                <w:i/>
                <w:sz w:val="2"/>
                <w:szCs w:val="2"/>
              </w:rPr>
            </w:pPr>
            <w:r>
              <w:rPr>
                <w:sz w:val="72"/>
                <w:szCs w:val="72"/>
              </w:rPr>
              <w:t xml:space="preserve">  </w:t>
            </w:r>
            <w:r w:rsidR="00D31DDF" w:rsidRPr="00887EC5">
              <w:rPr>
                <w:i/>
                <w:sz w:val="72"/>
                <w:szCs w:val="72"/>
              </w:rPr>
              <w:t>From the Warring Factions</w:t>
            </w:r>
            <w:r w:rsidR="00887EC5">
              <w:rPr>
                <w:i/>
                <w:sz w:val="72"/>
                <w:szCs w:val="72"/>
              </w:rPr>
              <w:br/>
            </w:r>
          </w:p>
          <w:p w:rsidR="00D31DDF" w:rsidRPr="0068752E" w:rsidRDefault="00516CD5" w:rsidP="00D31DDF">
            <w:pPr>
              <w:pStyle w:val="Heading3"/>
              <w:rPr>
                <w:sz w:val="44"/>
                <w:szCs w:val="44"/>
              </w:rPr>
            </w:pPr>
            <w:r>
              <w:t xml:space="preserve">    </w:t>
            </w:r>
            <w:r w:rsidR="00D31DDF">
              <w:t xml:space="preserve">   </w:t>
            </w:r>
            <w:hyperlink r:id="rId6" w:history="1">
              <w:proofErr w:type="spellStart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>Ammiel</w:t>
              </w:r>
              <w:proofErr w:type="spellEnd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 xml:space="preserve"> </w:t>
              </w:r>
              <w:proofErr w:type="spellStart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>Alcalay</w:t>
              </w:r>
              <w:proofErr w:type="spellEnd"/>
            </w:hyperlink>
            <w:r w:rsidR="00D31DDF" w:rsidRPr="0068752E">
              <w:rPr>
                <w:sz w:val="44"/>
                <w:szCs w:val="44"/>
              </w:rPr>
              <w:t xml:space="preserve"> and </w:t>
            </w:r>
            <w:hyperlink r:id="rId7" w:history="1">
              <w:proofErr w:type="spellStart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>Semezdin</w:t>
              </w:r>
              <w:proofErr w:type="spellEnd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 xml:space="preserve"> </w:t>
              </w:r>
              <w:proofErr w:type="spellStart"/>
              <w:r w:rsidR="00D31DDF" w:rsidRPr="0068752E">
                <w:rPr>
                  <w:rStyle w:val="Hyperlink"/>
                  <w:color w:val="auto"/>
                  <w:sz w:val="44"/>
                  <w:szCs w:val="44"/>
                  <w:u w:val="none"/>
                </w:rPr>
                <w:t>Mehmedinović</w:t>
              </w:r>
              <w:proofErr w:type="spellEnd"/>
            </w:hyperlink>
          </w:p>
          <w:p w:rsidR="00926E12" w:rsidRDefault="00926E12" w:rsidP="00D31DDF">
            <w:pPr>
              <w:pStyle w:val="NoSpacing"/>
            </w:pPr>
          </w:p>
          <w:p w:rsidR="00926E12" w:rsidRPr="00340194" w:rsidRDefault="00926E12" w:rsidP="00926E12">
            <w:pPr>
              <w:pStyle w:val="NoSpacing"/>
              <w:ind w:left="360"/>
              <w:rPr>
                <w:sz w:val="28"/>
                <w:szCs w:val="28"/>
              </w:rPr>
            </w:pPr>
          </w:p>
          <w:p w:rsidR="00516CD5" w:rsidRPr="00516CD5" w:rsidRDefault="00516CD5" w:rsidP="00516CD5">
            <w:pPr>
              <w:pStyle w:val="Heading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31DDF">
              <w:rPr>
                <w:sz w:val="36"/>
                <w:szCs w:val="36"/>
              </w:rPr>
              <w:t xml:space="preserve"> </w:t>
            </w:r>
            <w:r w:rsidRPr="00516CD5">
              <w:rPr>
                <w:sz w:val="36"/>
                <w:szCs w:val="36"/>
              </w:rPr>
              <w:t xml:space="preserve">The </w:t>
            </w:r>
            <w:r w:rsidR="00D31DDF">
              <w:rPr>
                <w:sz w:val="36"/>
                <w:szCs w:val="36"/>
              </w:rPr>
              <w:t>James Gallery</w:t>
            </w:r>
          </w:p>
          <w:p w:rsidR="00926E12" w:rsidRPr="00CD083F" w:rsidRDefault="00926E12" w:rsidP="00926E12">
            <w:pPr>
              <w:rPr>
                <w:sz w:val="10"/>
                <w:szCs w:val="10"/>
              </w:rPr>
            </w:pPr>
          </w:p>
          <w:tbl>
            <w:tblPr>
              <w:tblW w:w="10842" w:type="dxa"/>
              <w:jc w:val="center"/>
              <w:tblCellSpacing w:w="0" w:type="dxa"/>
              <w:tblInd w:w="2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6"/>
              <w:gridCol w:w="4866"/>
            </w:tblGrid>
            <w:tr w:rsidR="00926E12" w:rsidRPr="00CD083F" w:rsidTr="008A3813">
              <w:trPr>
                <w:trHeight w:val="5058"/>
                <w:tblCellSpacing w:w="0" w:type="dxa"/>
                <w:jc w:val="center"/>
              </w:trPr>
              <w:tc>
                <w:tcPr>
                  <w:tcW w:w="5272" w:type="dxa"/>
                  <w:hideMark/>
                </w:tcPr>
                <w:p w:rsidR="00926E12" w:rsidRDefault="0068752E" w:rsidP="00A37C30">
                  <w:pPr>
                    <w:framePr w:hSpace="180" w:wrap="around" w:hAnchor="margin" w:xAlign="center" w:y="-720"/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zh-CN"/>
                    </w:rPr>
                    <w:drawing>
                      <wp:anchor distT="0" distB="0" distL="114300" distR="114300" simplePos="0" relativeHeight="251660288" behindDoc="0" locked="0" layoutInCell="1" allowOverlap="1" wp14:anchorId="4AB881CD" wp14:editId="23586DAA">
                        <wp:simplePos x="590550" y="4410075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3794760" cy="2524125"/>
                        <wp:effectExtent l="0" t="0" r="0" b="0"/>
                        <wp:wrapSquare wrapText="bothSides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rebrenica_2007_wikipedi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9265" cy="2526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926E12" w:rsidRPr="00CD083F" w:rsidRDefault="00926E12" w:rsidP="00A37C30">
                  <w:pPr>
                    <w:framePr w:hSpace="180" w:wrap="around" w:hAnchor="margin" w:xAlign="center" w:y="-720"/>
                    <w:spacing w:line="480" w:lineRule="auto"/>
                    <w:ind w:left="23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70" w:type="dxa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</w:tcPr>
                <w:p w:rsidR="00D31DDF" w:rsidRPr="00D31DDF" w:rsidRDefault="00D31DDF" w:rsidP="00A37C30">
                  <w:pPr>
                    <w:framePr w:hSpace="180" w:wrap="around" w:hAnchor="margin" w:xAlign="center" w:y="-720"/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Adding to the political speech acts in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Maja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Bajević’s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exhibition “To Be Continued,” the tenth-anniversary reprint of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Ammiel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Alcalay’s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from the warring factions</w:t>
                  </w:r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(2003), a book-length poem dedicated to Srebrenica, provides an occasion to engage in conversation about public and private speech as well as representations of catastrophe. Join us as </w:t>
                  </w:r>
                  <w:r w:rsidRPr="00D31D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Ammiel Alcalay </w:t>
                  </w:r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and Bosnian poet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Semezdin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Mehmedinović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author of</w:t>
                  </w:r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 Sarajevo Blues </w:t>
                  </w:r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(1992) and </w:t>
                  </w:r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Nine </w:t>
                  </w:r>
                  <w:proofErr w:type="spellStart"/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Alexandrias</w:t>
                  </w:r>
                  <w:proofErr w:type="spellEnd"/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D31DDF">
                    <w:rPr>
                      <w:rFonts w:ascii="Arial" w:eastAsia="Times New Roman" w:hAnsi="Arial" w:cs="Arial"/>
                      <w:sz w:val="24"/>
                      <w:szCs w:val="24"/>
                    </w:rPr>
                    <w:t>(2003)—both translated by Alcalay—read and talk about their work.</w:t>
                  </w:r>
                </w:p>
                <w:p w:rsidR="00D31DDF" w:rsidRPr="00D31DDF" w:rsidRDefault="00D31DDF" w:rsidP="00A37C30">
                  <w:pPr>
                    <w:framePr w:hSpace="180" w:wrap="around" w:hAnchor="margin" w:xAlign="center" w:y="-7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31DDF" w:rsidRPr="00D31DDF" w:rsidRDefault="00D31DDF" w:rsidP="00A37C30">
                  <w:pPr>
                    <w:framePr w:hSpace="180" w:wrap="around" w:hAnchor="margin" w:xAlign="center" w:y="-720"/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31DD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Cosponsored by the Narrating Change Seminar in the Humanities.</w:t>
                  </w:r>
                </w:p>
                <w:p w:rsidR="00926E12" w:rsidRPr="003D62AE" w:rsidRDefault="00926E12" w:rsidP="00A37C30">
                  <w:pPr>
                    <w:pStyle w:val="NormalWeb"/>
                    <w:framePr w:hSpace="180" w:wrap="around" w:hAnchor="margin" w:xAlign="center" w:y="-720"/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</w:pPr>
                </w:p>
              </w:tc>
            </w:tr>
          </w:tbl>
          <w:p w:rsidR="00926E12" w:rsidRDefault="00926E12" w:rsidP="00926E12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:rsidR="00926E12" w:rsidRDefault="00926E12" w:rsidP="00926E12">
            <w:pPr>
              <w:spacing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101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5"/>
            </w:tblGrid>
            <w:tr w:rsidR="00926E12" w:rsidTr="008A3813">
              <w:trPr>
                <w:trHeight w:val="173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26E12" w:rsidRPr="00230356" w:rsidRDefault="00926E12" w:rsidP="00A37C30">
                  <w:pPr>
                    <w:framePr w:hSpace="180" w:wrap="around" w:hAnchor="margin" w:xAlign="center" w:y="-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AACF8" wp14:editId="26BA97C3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-62230</wp:posOffset>
                            </wp:positionV>
                            <wp:extent cx="6174740" cy="635"/>
                            <wp:effectExtent l="0" t="0" r="16510" b="37465"/>
                            <wp:wrapNone/>
                            <wp:docPr id="4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7474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7" o:spid="_x0000_s1026" type="#_x0000_t32" style="position:absolute;margin-left:-3.6pt;margin-top:-4.9pt;width:486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X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"/>
                        </w:pict>
                      </mc:Fallback>
                    </mc:AlternateContent>
                  </w:r>
                  <w:r w:rsidRPr="00230356">
                    <w:rPr>
                      <w:rFonts w:ascii="Arial" w:hAnsi="Arial" w:cs="Arial"/>
                    </w:rPr>
                    <w:t xml:space="preserve">Free and open to the public. All events take place at The Graduate Center, CUNY, 365 Fifth Ave </w:t>
                  </w:r>
                  <w:proofErr w:type="spellStart"/>
                  <w:r w:rsidRPr="00230356">
                    <w:rPr>
                      <w:rFonts w:ascii="Arial" w:hAnsi="Arial" w:cs="Arial"/>
                    </w:rPr>
                    <w:t>btwn</w:t>
                  </w:r>
                  <w:proofErr w:type="spellEnd"/>
                  <w:r w:rsidRPr="00230356">
                    <w:rPr>
                      <w:rFonts w:ascii="Arial" w:hAnsi="Arial" w:cs="Arial"/>
                    </w:rPr>
                    <w:t xml:space="preserve"> 34th &amp; 35th. The building and the venues are fully accessible. For more information please visit </w:t>
                  </w:r>
                  <w:hyperlink r:id="rId9" w:history="1">
                    <w:r w:rsidRPr="008A4304">
                      <w:rPr>
                        <w:rStyle w:val="Hyperlink"/>
                        <w:rFonts w:ascii="Arial" w:hAnsi="Arial" w:cs="Arial"/>
                      </w:rPr>
                      <w:t>http://centerforthehumanities.org/</w:t>
                    </w:r>
                  </w:hyperlink>
                  <w:r>
                    <w:rPr>
                      <w:rFonts w:ascii="Arial" w:hAnsi="Arial" w:cs="Arial"/>
                    </w:rPr>
                    <w:t xml:space="preserve"> or </w:t>
                  </w:r>
                  <w:r w:rsidRPr="00230356">
                    <w:rPr>
                      <w:rFonts w:ascii="Arial" w:hAnsi="Arial" w:cs="Arial"/>
                    </w:rPr>
                    <w:t xml:space="preserve">call 212.817.2005 or e-mail </w:t>
                  </w:r>
                  <w:hyperlink r:id="rId10" w:history="1">
                    <w:r w:rsidRPr="00230356">
                      <w:rPr>
                        <w:rStyle w:val="Hyperlink"/>
                        <w:rFonts w:ascii="Arial" w:hAnsi="Arial" w:cs="Arial"/>
                      </w:rPr>
                      <w:t>ch@gc.cuny.edu</w:t>
                    </w:r>
                  </w:hyperlink>
                </w:p>
              </w:tc>
            </w:tr>
          </w:tbl>
          <w:p w:rsidR="00926E12" w:rsidRPr="00CD083F" w:rsidRDefault="00926E12" w:rsidP="00926E12"/>
        </w:tc>
      </w:tr>
      <w:bookmarkEnd w:id="0"/>
    </w:tbl>
    <w:p w:rsidR="00FD043B" w:rsidRPr="00926E12" w:rsidRDefault="00A37C30" w:rsidP="00926E12"/>
    <w:sectPr w:rsidR="00FD043B" w:rsidRPr="00926E12" w:rsidSect="00FA37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AE"/>
    <w:rsid w:val="00073351"/>
    <w:rsid w:val="00214C55"/>
    <w:rsid w:val="003D62AE"/>
    <w:rsid w:val="00516CD5"/>
    <w:rsid w:val="005F53E9"/>
    <w:rsid w:val="0068752E"/>
    <w:rsid w:val="0080470D"/>
    <w:rsid w:val="00887EC5"/>
    <w:rsid w:val="008E2933"/>
    <w:rsid w:val="00926E12"/>
    <w:rsid w:val="00956619"/>
    <w:rsid w:val="00A37C30"/>
    <w:rsid w:val="00A72BAC"/>
    <w:rsid w:val="00A95061"/>
    <w:rsid w:val="00C736F9"/>
    <w:rsid w:val="00D31DDF"/>
    <w:rsid w:val="00E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A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D62AE"/>
    <w:pPr>
      <w:spacing w:line="390" w:lineRule="atLeast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3D62AE"/>
    <w:pPr>
      <w:spacing w:line="240" w:lineRule="atLeast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2AE"/>
    <w:rPr>
      <w:rFonts w:ascii="Arial" w:hAnsi="Arial" w:cs="Arial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2AE"/>
    <w:rPr>
      <w:rFonts w:ascii="Arial" w:hAnsi="Arial" w:cs="Arial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62AE"/>
    <w:rPr>
      <w:color w:val="0000FF"/>
      <w:u w:val="single"/>
    </w:rPr>
  </w:style>
  <w:style w:type="paragraph" w:styleId="NoSpacing">
    <w:name w:val="No Spacing"/>
    <w:uiPriority w:val="1"/>
    <w:qFormat/>
    <w:rsid w:val="003D62AE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D62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62AE"/>
    <w:rPr>
      <w:i/>
      <w:iCs/>
    </w:rPr>
  </w:style>
  <w:style w:type="character" w:styleId="Strong">
    <w:name w:val="Strong"/>
    <w:basedOn w:val="DefaultParagraphFont"/>
    <w:uiPriority w:val="22"/>
    <w:qFormat/>
    <w:rsid w:val="00516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A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D62AE"/>
    <w:pPr>
      <w:spacing w:line="390" w:lineRule="atLeast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3D62AE"/>
    <w:pPr>
      <w:spacing w:line="240" w:lineRule="atLeast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2AE"/>
    <w:rPr>
      <w:rFonts w:ascii="Arial" w:hAnsi="Arial" w:cs="Arial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2AE"/>
    <w:rPr>
      <w:rFonts w:ascii="Arial" w:hAnsi="Arial" w:cs="Arial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62AE"/>
    <w:rPr>
      <w:color w:val="0000FF"/>
      <w:u w:val="single"/>
    </w:rPr>
  </w:style>
  <w:style w:type="paragraph" w:styleId="NoSpacing">
    <w:name w:val="No Spacing"/>
    <w:uiPriority w:val="1"/>
    <w:qFormat/>
    <w:rsid w:val="003D62AE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D62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62AE"/>
    <w:rPr>
      <w:i/>
      <w:iCs/>
    </w:rPr>
  </w:style>
  <w:style w:type="character" w:styleId="Strong">
    <w:name w:val="Strong"/>
    <w:basedOn w:val="DefaultParagraphFont"/>
    <w:uiPriority w:val="22"/>
    <w:qFormat/>
    <w:rsid w:val="0051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centerforthehumanities.org/speaker/semezdin-mehmedinovi%C4%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forthehumanities.org/speaker/ammiel-alcal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@gc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forthehuman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Tonya</dc:creator>
  <cp:lastModifiedBy>Kreniske, Philip</cp:lastModifiedBy>
  <cp:revision>2</cp:revision>
  <dcterms:created xsi:type="dcterms:W3CDTF">2013-01-30T22:20:00Z</dcterms:created>
  <dcterms:modified xsi:type="dcterms:W3CDTF">2013-01-30T22:20:00Z</dcterms:modified>
</cp:coreProperties>
</file>